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36C" w:rsidRDefault="000739FE">
      <w:r>
        <w:rPr>
          <w:rFonts w:ascii="Arial" w:hAnsi="Arial" w:cs="Arial"/>
          <w:color w:val="000000"/>
          <w:sz w:val="20"/>
          <w:szCs w:val="20"/>
          <w:shd w:val="clear" w:color="auto" w:fill="F8F8F8"/>
        </w:rPr>
        <w:t>When should a victim of sexual harassment or sexual violence under Title IX be referred to the disability services office?  What are some ways that disability services offices may structure their services to make them accessible and safe for victims of sexual violence? </w:t>
      </w:r>
      <w:bookmarkStart w:id="0" w:name="_GoBack"/>
      <w:bookmarkEnd w:id="0"/>
    </w:p>
    <w:sectPr w:rsidR="00866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9FE"/>
    <w:rsid w:val="000739FE"/>
    <w:rsid w:val="00866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C6545B-B400-4709-947D-F3A4F327F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Words>
  <Characters>231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2020-11-16T23:01:00Z</dcterms:created>
  <dcterms:modified xsi:type="dcterms:W3CDTF">2020-11-16T23:04:00Z</dcterms:modified>
</cp:coreProperties>
</file>